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bookmarkStart w:id="0" w:name="_GoBack"/>
      <w:bookmarkEnd w:id="0"/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:rsidR="003203C6" w:rsidRDefault="003203C6" w:rsidP="005A6EC5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>בזיקה למדדי ההערכה בכלי להערכת 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968"/>
        <w:gridCol w:w="2269"/>
        <w:gridCol w:w="2693"/>
        <w:gridCol w:w="2268"/>
        <w:gridCol w:w="3119"/>
      </w:tblGrid>
      <w:tr w:rsidR="000D44FA" w:rsidRPr="004858A1" w:rsidTr="00F84283">
        <w:trPr>
          <w:trHeight w:val="1692"/>
          <w:tblHeader/>
        </w:trPr>
        <w:tc>
          <w:tcPr>
            <w:tcW w:w="1419" w:type="dxa"/>
            <w:shd w:val="clear" w:color="auto" w:fill="D9D9D9" w:themeFill="background1" w:themeFillShade="D9"/>
          </w:tcPr>
          <w:p w:rsidR="000D44FA" w:rsidRPr="00F84283" w:rsidRDefault="000D44FA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מדדים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0D44FA" w:rsidRPr="00F84283" w:rsidRDefault="000D44FA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34518" w:rsidRPr="00F84283" w:rsidRDefault="00E479F3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עדויות תומכות (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 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 דפי תכנון ועוד)</w:t>
            </w:r>
          </w:p>
          <w:p w:rsidR="000D44FA" w:rsidRPr="00F84283" w:rsidRDefault="000D44FA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proofErr w:type="spellStart"/>
            <w:r w:rsidRPr="00F84283">
              <w:rPr>
                <w:rFonts w:ascii="Times New Roman" w:hAnsi="Times New Roman" w:hint="cs"/>
                <w:b/>
                <w:bCs/>
                <w:rtl/>
              </w:rPr>
              <w:t>חוזקות</w:t>
            </w:r>
            <w:proofErr w:type="spellEnd"/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(FEEDBACK )</w:t>
            </w:r>
          </w:p>
          <w:p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:rsidTr="00F84283">
        <w:tc>
          <w:tcPr>
            <w:tcW w:w="1419" w:type="dxa"/>
            <w:vMerge w:val="restart"/>
            <w:shd w:val="clear" w:color="auto" w:fill="auto"/>
          </w:tcPr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כנון 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עבודה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תכנון עבודה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תכנים מותאמים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הי</w:t>
            </w:r>
            <w:r w:rsidRPr="00E479F3">
              <w:rPr>
                <w:rFonts w:ascii="Arial" w:hAnsi="Arial"/>
                <w:b/>
                <w:bCs/>
                <w:rtl/>
              </w:rPr>
              <w:t>כרות עם הילדים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הכרות עם צרכים ויכולות 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זיהוי </w:t>
            </w:r>
            <w:r w:rsidR="00DE1113">
              <w:rPr>
                <w:rFonts w:ascii="Arial" w:hAnsi="Arial" w:hint="cs"/>
                <w:rtl/>
              </w:rPr>
              <w:t>תחומי עניין וקשיים בולטים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דרכי הוראה מותאמות ומגוונות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0D44FA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גיוון דרכי הוראה (שיטות ואמצעים)</w:t>
            </w:r>
          </w:p>
          <w:p w:rsidR="00DE1113" w:rsidRPr="00DE1113" w:rsidRDefault="00DE111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DE1113">
              <w:rPr>
                <w:rFonts w:hint="cs"/>
                <w:rtl/>
              </w:rPr>
              <w:t>שימוש בשפה תקינה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מתן מענה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 לשונות בין הילדים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דרכי עבודה מותאמות לצרכים ויכולות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יצירת סביבות 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סביבות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מאתגרות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ותואמות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את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התפתחות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הילדים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והילדות</w:t>
            </w:r>
          </w:p>
          <w:p w:rsidR="000D44FA" w:rsidRPr="00E479F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הסביב</w:t>
            </w:r>
            <w:r w:rsidR="00DE1113">
              <w:rPr>
                <w:rFonts w:ascii="Arial" w:hAnsi="Arial" w:hint="cs"/>
                <w:rtl/>
              </w:rPr>
              <w:t>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מגוונ</w:t>
            </w:r>
            <w:r w:rsidR="00DE1113">
              <w:rPr>
                <w:rFonts w:ascii="Arial" w:hAnsi="Arial" w:hint="cs"/>
                <w:rtl/>
              </w:rPr>
              <w:t>ו</w:t>
            </w:r>
            <w:r w:rsidRPr="00E479F3">
              <w:rPr>
                <w:rFonts w:ascii="Arial" w:hAnsi="Arial" w:hint="cs"/>
                <w:rtl/>
              </w:rPr>
              <w:t>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ומאפשרות לילדים בחירה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ניהול זמן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DE1113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סדר יום </w:t>
            </w:r>
            <w:r w:rsidR="00DE1113">
              <w:rPr>
                <w:rFonts w:ascii="Arial" w:hAnsi="Arial" w:hint="cs"/>
                <w:rtl/>
              </w:rPr>
              <w:t>מתוכנן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 </w:t>
            </w:r>
            <w:r w:rsidRPr="00DE1113">
              <w:rPr>
                <w:rFonts w:ascii="Arial" w:hAnsi="Arial" w:hint="cs"/>
                <w:rtl/>
              </w:rPr>
              <w:t>גמישות</w:t>
            </w:r>
            <w:r w:rsidR="00DE1113" w:rsidRPr="00DE1113">
              <w:rPr>
                <w:rFonts w:hint="cs"/>
                <w:rtl/>
              </w:rPr>
              <w:t xml:space="preserve"> בסדר היום על פי נסיבות וצרכים משתנים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ניצול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הזדמנויות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למידה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מעקב אחר הפעילות וניצול הזדמנויות למידה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05F5F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</w:rPr>
              <w:t xml:space="preserve"> </w:t>
            </w:r>
            <w:r w:rsidRPr="00E479F3">
              <w:rPr>
                <w:rFonts w:ascii="Arial" w:hAnsi="Arial" w:hint="cs"/>
                <w:b/>
                <w:bCs/>
                <w:rtl/>
              </w:rPr>
              <w:t>א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ינטראקציות</w:t>
            </w:r>
            <w:r w:rsidR="000D44FA" w:rsidRPr="00E479F3">
              <w:rPr>
                <w:rFonts w:hint="cs"/>
                <w:b/>
                <w:bCs/>
                <w:rtl/>
              </w:rPr>
              <w:t xml:space="preserve"> </w:t>
            </w:r>
            <w:r w:rsidR="000D44FA" w:rsidRPr="00E479F3">
              <w:rPr>
                <w:b/>
                <w:bCs/>
                <w:rtl/>
              </w:rPr>
              <w:t>בגן</w:t>
            </w:r>
          </w:p>
          <w:p w:rsidR="00DE111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הצבת גבולות</w:t>
            </w:r>
            <w:r w:rsidR="00DE1113">
              <w:rPr>
                <w:rFonts w:ascii="Arial" w:hAnsi="Arial" w:hint="cs"/>
                <w:rtl/>
              </w:rPr>
              <w:t xml:space="preserve"> והכלה רגשית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ייזום אינטראקציות חברתיות</w:t>
            </w:r>
            <w:r w:rsidR="00DE1113">
              <w:rPr>
                <w:rFonts w:ascii="Arial" w:hAnsi="Arial" w:hint="cs"/>
                <w:rtl/>
              </w:rPr>
              <w:t xml:space="preserve"> בדגש על קשר בין אישי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התייחסות ברגישות </w:t>
            </w:r>
            <w:r w:rsidRPr="00DE1113">
              <w:rPr>
                <w:rFonts w:ascii="Arial" w:hAnsi="Arial" w:hint="cs"/>
                <w:rtl/>
              </w:rPr>
              <w:t>ובכבוד</w:t>
            </w:r>
            <w:r w:rsidR="00DE1113" w:rsidRPr="00DE1113">
              <w:rPr>
                <w:rFonts w:hint="cs"/>
                <w:rtl/>
              </w:rPr>
              <w:t xml:space="preserve"> לכל באי הגן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התייחסות להיבטים רגשיים וחברתיים במכלול העשייה בגן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התמודדות עם מצבי קונפליקט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הפעלת מרחב סוציו דרמטי לשם </w:t>
            </w:r>
          </w:p>
          <w:p w:rsidR="000D44FA" w:rsidRPr="00E479F3" w:rsidRDefault="009C3CF1" w:rsidP="00F84283">
            <w:pPr>
              <w:pStyle w:val="a6"/>
              <w:ind w:left="318" w:firstLine="0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הבעה רגשית חברתית  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9C3CF1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אספות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הורים</w:t>
            </w:r>
            <w:r w:rsidRPr="00E479F3">
              <w:rPr>
                <w:rFonts w:ascii="Arial" w:hAnsi="Arial" w:hint="cs"/>
                <w:b/>
                <w:bCs/>
                <w:rtl/>
              </w:rPr>
              <w:t>/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>שיתוף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/ דיווחים שוטפים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  <w:r w:rsidRPr="00E479F3">
              <w:rPr>
                <w:rFonts w:hint="cs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60" w:hanging="460"/>
              <w:rPr>
                <w:b/>
                <w:bCs/>
                <w:u w:val="single"/>
              </w:rPr>
            </w:pPr>
            <w:r w:rsidRPr="00E479F3">
              <w:rPr>
                <w:rFonts w:hint="cs"/>
                <w:b/>
                <w:bCs/>
                <w:rtl/>
              </w:rPr>
              <w:t>מפגש פרטני עם הורים</w:t>
            </w:r>
          </w:p>
          <w:p w:rsidR="000D44FA" w:rsidRPr="00EA773C" w:rsidRDefault="000D44FA" w:rsidP="00EA773C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A773C">
              <w:rPr>
                <w:rFonts w:ascii="Arial" w:hAnsi="Arial" w:hint="cs"/>
                <w:rtl/>
              </w:rPr>
              <w:t xml:space="preserve">דיווח על </w:t>
            </w:r>
            <w:r w:rsidR="00EA773C" w:rsidRPr="00EA773C">
              <w:rPr>
                <w:rFonts w:ascii="Arial" w:hAnsi="Arial" w:hint="cs"/>
                <w:rtl/>
              </w:rPr>
              <w:t>תפקוד הילדים</w:t>
            </w:r>
            <w:r w:rsidRPr="00EA773C">
              <w:rPr>
                <w:rFonts w:ascii="Arial" w:hAnsi="Arial" w:hint="cs"/>
                <w:rtl/>
              </w:rPr>
              <w:t xml:space="preserve"> </w:t>
            </w:r>
          </w:p>
          <w:p w:rsidR="000D44FA" w:rsidRPr="00EA773C" w:rsidRDefault="00EA773C" w:rsidP="00EA773C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ascii="Arial" w:hAnsi="Arial" w:hint="cs"/>
                <w:rtl/>
              </w:rPr>
              <w:t xml:space="preserve">קשר תקין, </w:t>
            </w:r>
            <w:r w:rsidR="000D44FA" w:rsidRPr="00EA773C">
              <w:rPr>
                <w:rFonts w:ascii="Arial" w:hAnsi="Arial" w:hint="cs"/>
                <w:rtl/>
              </w:rPr>
              <w:t>בונה</w:t>
            </w:r>
            <w:r w:rsidRPr="00EA773C">
              <w:rPr>
                <w:rFonts w:hint="cs"/>
                <w:rtl/>
              </w:rPr>
              <w:t xml:space="preserve"> ורציף עם ההורים</w:t>
            </w:r>
          </w:p>
          <w:p w:rsidR="00EA773C" w:rsidRPr="00EA773C" w:rsidRDefault="00EA773C" w:rsidP="00EA773C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hint="cs"/>
                <w:rtl/>
              </w:rPr>
              <w:t>הכרות עם דרכי הפנייה של ילדים לגורמים מקצועיים (באמצעות הוריהם)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ניהול צוות</w:t>
            </w:r>
          </w:p>
          <w:p w:rsidR="000D44FA" w:rsidRPr="004858A1" w:rsidRDefault="000D44F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b/>
                <w:bCs/>
                <w:rtl/>
              </w:rPr>
              <w:t xml:space="preserve">עבודת </w:t>
            </w:r>
            <w:r w:rsidRPr="00E479F3">
              <w:rPr>
                <w:rFonts w:ascii="Arial" w:hAnsi="Arial"/>
                <w:b/>
                <w:bCs/>
                <w:rtl/>
              </w:rPr>
              <w:t>צוות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מקיימת/ משתתפת ב</w:t>
            </w:r>
            <w:r w:rsidR="000D44FA" w:rsidRPr="00E479F3">
              <w:rPr>
                <w:rFonts w:ascii="Arial" w:hAnsi="Arial" w:hint="cs"/>
                <w:rtl/>
              </w:rPr>
              <w:t>פגישות</w:t>
            </w:r>
            <w:r w:rsidR="000D44FA" w:rsidRPr="00E479F3">
              <w:rPr>
                <w:rFonts w:ascii="Arial" w:hAnsi="Arial"/>
                <w:rtl/>
              </w:rPr>
              <w:t xml:space="preserve"> </w:t>
            </w:r>
            <w:r w:rsidR="000D44FA" w:rsidRPr="00E479F3">
              <w:rPr>
                <w:rFonts w:ascii="Arial" w:hAnsi="Arial" w:hint="cs"/>
                <w:rtl/>
              </w:rPr>
              <w:t>צוות</w:t>
            </w:r>
            <w:r w:rsidR="000D44FA" w:rsidRPr="00E479F3">
              <w:rPr>
                <w:rFonts w:ascii="Arial" w:hAnsi="Arial"/>
                <w:rtl/>
              </w:rPr>
              <w:t xml:space="preserve">,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מקיימת ערוצי תקשורת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שוטפים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התפתחות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מקצועית</w:t>
            </w:r>
          </w:p>
          <w:p w:rsidR="009C3CF1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סד</w:t>
            </w:r>
            <w:r w:rsidR="00EA773C">
              <w:rPr>
                <w:rFonts w:ascii="Arial" w:hAnsi="Arial" w:hint="cs"/>
                <w:rtl/>
              </w:rPr>
              <w:t>נת התמחות, קשר עם הגננת החונכת</w:t>
            </w:r>
          </w:p>
          <w:p w:rsidR="00EA773C" w:rsidRPr="00EA773C" w:rsidRDefault="00EA773C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פתוחה לתהליכי משוב ולומדת מהם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מגלה יכולת רפלקטיבית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השתתפות במפגשי פיקוח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אתיקה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ואחריות</w:t>
            </w:r>
          </w:p>
          <w:p w:rsidR="000D44FA" w:rsidRPr="00E479F3" w:rsidRDefault="000D44FA" w:rsidP="00EA773C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דיווח, שמירה על </w:t>
            </w:r>
            <w:r w:rsidR="00EA773C">
              <w:rPr>
                <w:rFonts w:ascii="Arial" w:hAnsi="Arial" w:hint="cs"/>
                <w:rtl/>
              </w:rPr>
              <w:t>סודיות ו</w:t>
            </w:r>
            <w:r w:rsidRPr="00E479F3">
              <w:rPr>
                <w:rFonts w:ascii="Arial" w:hAnsi="Arial" w:hint="cs"/>
                <w:rtl/>
              </w:rPr>
              <w:t>כבוד הילדים, ההורים והצוות</w:t>
            </w:r>
          </w:p>
          <w:p w:rsidR="00E479F3" w:rsidRPr="00E479F3" w:rsidRDefault="00E479F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פועלת על פי הנהלים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</w:tbl>
    <w:p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7C" w:rsidRDefault="00914E7C" w:rsidP="003203C6">
      <w:pPr>
        <w:spacing w:after="0" w:line="240" w:lineRule="auto"/>
      </w:pPr>
      <w:r>
        <w:separator/>
      </w:r>
    </w:p>
  </w:endnote>
  <w:endnote w:type="continuationSeparator" w:id="0">
    <w:p w:rsidR="00914E7C" w:rsidRDefault="00914E7C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7C" w:rsidRDefault="00914E7C" w:rsidP="003203C6">
      <w:pPr>
        <w:spacing w:after="0" w:line="240" w:lineRule="auto"/>
      </w:pPr>
      <w:r>
        <w:separator/>
      </w:r>
    </w:p>
  </w:footnote>
  <w:footnote w:type="continuationSeparator" w:id="0">
    <w:p w:rsidR="00914E7C" w:rsidRDefault="00914E7C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proofErr w:type="spellStart"/>
      <w:r>
        <w:t>Ramaprasad</w:t>
      </w:r>
      <w:proofErr w:type="spellEnd"/>
      <w:r>
        <w:t>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proofErr w:type="spellStart"/>
      <w:r>
        <w:t>Wiliam</w:t>
      </w:r>
      <w:proofErr w:type="spellEnd"/>
      <w:r>
        <w:t>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4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D72A5B"/>
    <w:multiLevelType w:val="multilevel"/>
    <w:tmpl w:val="BC68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0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61229"/>
    <w:rsid w:val="000D44FA"/>
    <w:rsid w:val="00124B47"/>
    <w:rsid w:val="00134518"/>
    <w:rsid w:val="00191395"/>
    <w:rsid w:val="002959BE"/>
    <w:rsid w:val="003203C6"/>
    <w:rsid w:val="00486FF8"/>
    <w:rsid w:val="004D0787"/>
    <w:rsid w:val="005A6EC5"/>
    <w:rsid w:val="005B0D4B"/>
    <w:rsid w:val="005C0101"/>
    <w:rsid w:val="00766282"/>
    <w:rsid w:val="008F3ADE"/>
    <w:rsid w:val="00914E7C"/>
    <w:rsid w:val="0092084B"/>
    <w:rsid w:val="009320EF"/>
    <w:rsid w:val="009C3CF1"/>
    <w:rsid w:val="00BE0D27"/>
    <w:rsid w:val="00D869F3"/>
    <w:rsid w:val="00DE1113"/>
    <w:rsid w:val="00E01341"/>
    <w:rsid w:val="00E479F3"/>
    <w:rsid w:val="00EA773C"/>
    <w:rsid w:val="00F84283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8585-F2FA-4607-97AE-EDBCEE96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פרוס דבורי</cp:lastModifiedBy>
  <cp:revision>2</cp:revision>
  <cp:lastPrinted>2017-01-30T07:14:00Z</cp:lastPrinted>
  <dcterms:created xsi:type="dcterms:W3CDTF">2020-11-10T20:43:00Z</dcterms:created>
  <dcterms:modified xsi:type="dcterms:W3CDTF">2020-11-10T20:43:00Z</dcterms:modified>
</cp:coreProperties>
</file>